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67" w:rsidRPr="00A92039" w:rsidRDefault="00B57C6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92039">
        <w:rPr>
          <w:rFonts w:ascii="Arial" w:hAnsi="Arial" w:cs="Arial"/>
          <w:b/>
          <w:sz w:val="24"/>
          <w:szCs w:val="24"/>
        </w:rPr>
        <w:t xml:space="preserve">Changes </w:t>
      </w:r>
      <w:r w:rsidR="00A92039" w:rsidRPr="00A92039">
        <w:rPr>
          <w:rFonts w:ascii="Arial" w:hAnsi="Arial" w:cs="Arial"/>
          <w:b/>
          <w:sz w:val="24"/>
          <w:szCs w:val="24"/>
        </w:rPr>
        <w:t xml:space="preserve">to General Fund revenue budget </w:t>
      </w:r>
      <w:r w:rsidRPr="00A92039">
        <w:rPr>
          <w:rFonts w:ascii="Arial" w:hAnsi="Arial" w:cs="Arial"/>
          <w:b/>
          <w:sz w:val="24"/>
          <w:szCs w:val="24"/>
        </w:rPr>
        <w:t>since report to Cabinet</w:t>
      </w:r>
      <w:r w:rsidR="00EE26AE" w:rsidRPr="00A92039">
        <w:rPr>
          <w:rFonts w:ascii="Arial" w:hAnsi="Arial" w:cs="Arial"/>
          <w:b/>
          <w:sz w:val="24"/>
          <w:szCs w:val="24"/>
        </w:rPr>
        <w:t xml:space="preserve"> – pay freeze</w:t>
      </w:r>
    </w:p>
    <w:p w:rsidR="00EE26AE" w:rsidRDefault="00B57C67">
      <w:pPr>
        <w:rPr>
          <w:rFonts w:ascii="Arial" w:hAnsi="Arial" w:cs="Arial"/>
          <w:sz w:val="24"/>
          <w:szCs w:val="24"/>
        </w:rPr>
      </w:pPr>
      <w:r w:rsidRPr="00B57C67">
        <w:rPr>
          <w:rFonts w:ascii="Arial" w:hAnsi="Arial" w:cs="Arial"/>
          <w:sz w:val="24"/>
          <w:szCs w:val="24"/>
        </w:rPr>
        <w:t>As part of the Spending Review, the Chanc</w:t>
      </w:r>
      <w:r w:rsidR="00EE26AE">
        <w:rPr>
          <w:rFonts w:ascii="Arial" w:hAnsi="Arial" w:cs="Arial"/>
          <w:sz w:val="24"/>
          <w:szCs w:val="24"/>
        </w:rPr>
        <w:t xml:space="preserve">ellor also announced a public </w:t>
      </w:r>
      <w:r w:rsidRPr="00B57C67">
        <w:rPr>
          <w:rFonts w:ascii="Arial" w:hAnsi="Arial" w:cs="Arial"/>
          <w:sz w:val="24"/>
          <w:szCs w:val="24"/>
        </w:rPr>
        <w:t xml:space="preserve">sector pay freeze for 2021/22. </w:t>
      </w:r>
    </w:p>
    <w:p w:rsidR="00EE26AE" w:rsidRDefault="00B57C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MTFS report that had been submitted to Cabinet, it was assumed that this pay freeze did apply to local government. </w:t>
      </w:r>
      <w:r w:rsidRPr="00B57C67">
        <w:rPr>
          <w:rFonts w:ascii="Arial" w:hAnsi="Arial" w:cs="Arial"/>
          <w:sz w:val="24"/>
          <w:szCs w:val="24"/>
        </w:rPr>
        <w:t xml:space="preserve">However, for local government, this is subject to the overall funding that </w:t>
      </w:r>
      <w:r w:rsidR="00EE26AE">
        <w:rPr>
          <w:rFonts w:ascii="Arial" w:hAnsi="Arial" w:cs="Arial"/>
          <w:sz w:val="24"/>
          <w:szCs w:val="24"/>
        </w:rPr>
        <w:t>the sector</w:t>
      </w:r>
      <w:r w:rsidRPr="00B57C67">
        <w:rPr>
          <w:rFonts w:ascii="Arial" w:hAnsi="Arial" w:cs="Arial"/>
          <w:sz w:val="24"/>
          <w:szCs w:val="24"/>
        </w:rPr>
        <w:t xml:space="preserve"> receives, and the pay claim that is still to be submitted by relevant trade unions, therefore a provisional 2% pay award has been included within service budgets. If local government pay is indeed frozen in 2021/22, this will provide budget savings in-year and in future years. </w:t>
      </w:r>
    </w:p>
    <w:p w:rsidR="00370F11" w:rsidRPr="00B57C67" w:rsidRDefault="00B57C67">
      <w:pPr>
        <w:rPr>
          <w:rFonts w:ascii="Arial" w:hAnsi="Arial" w:cs="Arial"/>
          <w:sz w:val="24"/>
          <w:szCs w:val="24"/>
        </w:rPr>
      </w:pPr>
      <w:r w:rsidRPr="00B57C67">
        <w:rPr>
          <w:rFonts w:ascii="Arial" w:hAnsi="Arial" w:cs="Arial"/>
          <w:sz w:val="24"/>
          <w:szCs w:val="24"/>
        </w:rPr>
        <w:t xml:space="preserve">The effect </w:t>
      </w:r>
      <w:r w:rsidR="00EE26AE">
        <w:rPr>
          <w:rFonts w:ascii="Arial" w:hAnsi="Arial" w:cs="Arial"/>
          <w:sz w:val="24"/>
          <w:szCs w:val="24"/>
        </w:rPr>
        <w:t xml:space="preserve">of the uncertainty surrounding the pay freeze, </w:t>
      </w:r>
      <w:r w:rsidRPr="00B57C67">
        <w:rPr>
          <w:rFonts w:ascii="Arial" w:hAnsi="Arial" w:cs="Arial"/>
          <w:sz w:val="24"/>
          <w:szCs w:val="24"/>
        </w:rPr>
        <w:t xml:space="preserve">on the savings identified and included within Appendix 2 is that £79,000 is to be transferred to Earmarked Reserves, instead of £296,000 as per the report Cabinet had referred to Council. </w:t>
      </w:r>
      <w:r w:rsidR="00EE26AE">
        <w:rPr>
          <w:rFonts w:ascii="Arial" w:hAnsi="Arial" w:cs="Arial"/>
          <w:sz w:val="24"/>
          <w:szCs w:val="24"/>
        </w:rPr>
        <w:t xml:space="preserve">An updated version of Appendix 1, with the impact of the pay freeze removed, has also been provided. </w:t>
      </w:r>
    </w:p>
    <w:p w:rsidR="00B57C67" w:rsidRDefault="00B57C67">
      <w:pPr>
        <w:rPr>
          <w:rFonts w:ascii="Arial" w:hAnsi="Arial" w:cs="Arial"/>
          <w:b/>
          <w:sz w:val="24"/>
          <w:szCs w:val="24"/>
        </w:rPr>
      </w:pPr>
    </w:p>
    <w:p w:rsidR="00B57C67" w:rsidRDefault="00B57C67">
      <w:pPr>
        <w:rPr>
          <w:rFonts w:ascii="Arial" w:hAnsi="Arial" w:cs="Arial"/>
          <w:b/>
          <w:sz w:val="24"/>
          <w:szCs w:val="24"/>
        </w:rPr>
      </w:pPr>
    </w:p>
    <w:p w:rsidR="00B57C67" w:rsidRDefault="00B57C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57C67" w:rsidRPr="00EE26AE" w:rsidRDefault="00B57C67">
      <w:pPr>
        <w:rPr>
          <w:rFonts w:ascii="Arial" w:hAnsi="Arial" w:cs="Arial"/>
          <w:b/>
          <w:sz w:val="32"/>
          <w:szCs w:val="32"/>
        </w:rPr>
      </w:pPr>
      <w:r w:rsidRPr="00EE26AE">
        <w:rPr>
          <w:rFonts w:ascii="Arial" w:hAnsi="Arial" w:cs="Arial"/>
          <w:b/>
          <w:sz w:val="32"/>
          <w:szCs w:val="32"/>
        </w:rPr>
        <w:lastRenderedPageBreak/>
        <w:t xml:space="preserve">Appendix 2 – as per Cabinet report </w:t>
      </w:r>
    </w:p>
    <w:p w:rsidR="00B57C67" w:rsidRPr="00B57C67" w:rsidRDefault="00B57C67" w:rsidP="00B57C67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B57C67">
        <w:rPr>
          <w:rFonts w:ascii="Arial" w:eastAsia="Times New Roman" w:hAnsi="Arial" w:cs="Times New Roman"/>
          <w:b/>
          <w:sz w:val="24"/>
          <w:szCs w:val="24"/>
          <w:lang w:eastAsia="en-GB"/>
        </w:rPr>
        <w:t>General Fund Savings Proposals 2021/22</w:t>
      </w:r>
    </w:p>
    <w:p w:rsidR="00B57C67" w:rsidRPr="00B57C67" w:rsidRDefault="00B57C67" w:rsidP="00B57C67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tbl>
      <w:tblPr>
        <w:tblW w:w="8332" w:type="dxa"/>
        <w:tblLook w:val="04A0" w:firstRow="1" w:lastRow="0" w:firstColumn="1" w:lastColumn="0" w:noHBand="0" w:noVBand="1"/>
      </w:tblPr>
      <w:tblGrid>
        <w:gridCol w:w="5080"/>
        <w:gridCol w:w="1084"/>
        <w:gridCol w:w="1084"/>
        <w:gridCol w:w="1084"/>
      </w:tblGrid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2021/22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2022/23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2023/24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£000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£000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£000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Unidentified Savings Target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557AA6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1,295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557AA6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1,373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 options: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DB25D4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25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 Tax increase of £5 for band 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167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Revenue Support Grant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 Homes Bonus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Lower Tier Services Grant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 Freeze (net impact)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217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Increase in Mansfield Woodhouse Train Station to £2 daily charge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Reduce My Mansfield to 2 issues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Reduction in Cabinet Member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10% reduction in Special Responsibility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Contribution to Earmarked Reserves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-296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B57C67" w:rsidRPr="00B57C67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B57C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449</w:t>
            </w:r>
          </w:p>
        </w:tc>
      </w:tr>
      <w:tr w:rsidR="00B57C67" w:rsidRPr="001538C8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1538C8" w:rsidRDefault="00B57C67" w:rsidP="000818AE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1538C8" w:rsidRDefault="00B57C67" w:rsidP="000818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1538C8" w:rsidRDefault="00B57C67" w:rsidP="000818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1538C8" w:rsidRDefault="00B57C67" w:rsidP="000818AE">
            <w:pPr>
              <w:rPr>
                <w:rFonts w:cs="Arial"/>
                <w:sz w:val="24"/>
                <w:szCs w:val="24"/>
              </w:rPr>
            </w:pPr>
          </w:p>
        </w:tc>
      </w:tr>
      <w:tr w:rsidR="00B57C67" w:rsidRPr="001538C8" w:rsidTr="00B57C67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081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7C67">
              <w:rPr>
                <w:rFonts w:ascii="Arial" w:hAnsi="Arial" w:cs="Arial"/>
                <w:color w:val="000000"/>
                <w:sz w:val="24"/>
                <w:szCs w:val="24"/>
              </w:rPr>
              <w:t>Unidentified Savings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081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7C6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B57C67" w:rsidP="00557A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7C6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57AA6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C67" w:rsidRPr="00B57C67" w:rsidRDefault="00557AA6" w:rsidP="00081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924</w:t>
            </w:r>
          </w:p>
        </w:tc>
      </w:tr>
    </w:tbl>
    <w:p w:rsidR="00557AA6" w:rsidRDefault="00557AA6" w:rsidP="00557AA6">
      <w:pPr>
        <w:rPr>
          <w:rFonts w:ascii="Arial" w:hAnsi="Arial" w:cs="Arial"/>
          <w:b/>
          <w:sz w:val="24"/>
          <w:szCs w:val="24"/>
        </w:rPr>
      </w:pPr>
    </w:p>
    <w:p w:rsidR="00557AA6" w:rsidRDefault="00557AA6" w:rsidP="00557AA6">
      <w:pPr>
        <w:rPr>
          <w:rFonts w:ascii="Arial" w:hAnsi="Arial" w:cs="Arial"/>
          <w:b/>
          <w:sz w:val="32"/>
          <w:szCs w:val="32"/>
        </w:rPr>
      </w:pPr>
      <w:r w:rsidRPr="00EE26AE">
        <w:rPr>
          <w:rFonts w:ascii="Arial" w:hAnsi="Arial" w:cs="Arial"/>
          <w:b/>
          <w:sz w:val="32"/>
          <w:szCs w:val="32"/>
        </w:rPr>
        <w:t xml:space="preserve">Appendix 2 – updated </w:t>
      </w:r>
    </w:p>
    <w:p w:rsidR="00EE26AE" w:rsidRDefault="00EE26AE" w:rsidP="00EE26AE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B57C67">
        <w:rPr>
          <w:rFonts w:ascii="Arial" w:eastAsia="Times New Roman" w:hAnsi="Arial" w:cs="Times New Roman"/>
          <w:b/>
          <w:sz w:val="24"/>
          <w:szCs w:val="24"/>
          <w:lang w:eastAsia="en-GB"/>
        </w:rPr>
        <w:t>General Fund Savings Proposals 2021/22</w:t>
      </w:r>
    </w:p>
    <w:p w:rsidR="00EE26AE" w:rsidRPr="00EE26AE" w:rsidRDefault="00EE26AE" w:rsidP="00EE26AE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tbl>
      <w:tblPr>
        <w:tblW w:w="8332" w:type="dxa"/>
        <w:tblLook w:val="04A0" w:firstRow="1" w:lastRow="0" w:firstColumn="1" w:lastColumn="0" w:noHBand="0" w:noVBand="1"/>
      </w:tblPr>
      <w:tblGrid>
        <w:gridCol w:w="5080"/>
        <w:gridCol w:w="1084"/>
        <w:gridCol w:w="1084"/>
        <w:gridCol w:w="1084"/>
      </w:tblGrid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2021/22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2022/23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2023/24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£000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£000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£000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Unidentified Savings Target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1,295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1,373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 options: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DB25D4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25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 Tax increase of £5 for band 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167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Revenue Support Grant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 Homes Bonus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Lower Tier Services Grant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Increase in Mansfield Woodhouse Train Station to £2 daily charge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Reduce My Mansfield to 2 issues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Reduction in Cabinet Member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10% reduction in Special Responsibility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Contribution to Earmarked Reserves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557AA6" w:rsidRPr="00B57C67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7C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232</w:t>
            </w:r>
          </w:p>
        </w:tc>
      </w:tr>
      <w:tr w:rsidR="00557AA6" w:rsidRPr="001538C8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1538C8" w:rsidRDefault="00557AA6" w:rsidP="000818AE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1538C8" w:rsidRDefault="00557AA6" w:rsidP="000818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1538C8" w:rsidRDefault="00557AA6" w:rsidP="000818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1538C8" w:rsidRDefault="00557AA6" w:rsidP="000818AE">
            <w:pPr>
              <w:rPr>
                <w:rFonts w:cs="Arial"/>
                <w:sz w:val="24"/>
                <w:szCs w:val="24"/>
              </w:rPr>
            </w:pPr>
          </w:p>
        </w:tc>
      </w:tr>
      <w:tr w:rsidR="00557AA6" w:rsidRPr="001538C8" w:rsidTr="000818AE"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7C67">
              <w:rPr>
                <w:rFonts w:ascii="Arial" w:hAnsi="Arial" w:cs="Arial"/>
                <w:color w:val="000000"/>
                <w:sz w:val="24"/>
                <w:szCs w:val="24"/>
              </w:rPr>
              <w:t>Unidentified Savings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7C6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1,063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A6" w:rsidRPr="00B57C67" w:rsidRDefault="00557AA6" w:rsidP="000818A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1,141</w:t>
            </w:r>
          </w:p>
        </w:tc>
      </w:tr>
    </w:tbl>
    <w:p w:rsidR="00557AA6" w:rsidRDefault="00557AA6">
      <w:pPr>
        <w:rPr>
          <w:rFonts w:ascii="Arial" w:hAnsi="Arial" w:cs="Arial"/>
          <w:b/>
          <w:sz w:val="24"/>
          <w:szCs w:val="24"/>
        </w:rPr>
      </w:pPr>
    </w:p>
    <w:p w:rsidR="00557AA6" w:rsidRPr="00557AA6" w:rsidRDefault="00557AA6" w:rsidP="00557AA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557AA6">
        <w:rPr>
          <w:rFonts w:ascii="Arial" w:eastAsia="Times New Roman" w:hAnsi="Arial" w:cs="Arial"/>
          <w:b/>
          <w:sz w:val="32"/>
          <w:szCs w:val="32"/>
          <w:lang w:eastAsia="en-GB"/>
        </w:rPr>
        <w:lastRenderedPageBreak/>
        <w:t>Appendix 1</w:t>
      </w:r>
      <w:r w:rsidR="00EE26AE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- updated</w:t>
      </w:r>
    </w:p>
    <w:p w:rsidR="00557AA6" w:rsidRPr="00557AA6" w:rsidRDefault="00557AA6" w:rsidP="00557AA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:rsidR="00557AA6" w:rsidRPr="00557AA6" w:rsidRDefault="00557AA6" w:rsidP="00557AA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57AA6">
        <w:rPr>
          <w:rFonts w:ascii="Arial" w:eastAsia="Times New Roman" w:hAnsi="Arial" w:cs="Arial"/>
          <w:b/>
          <w:sz w:val="24"/>
          <w:szCs w:val="24"/>
          <w:lang w:eastAsia="en-GB"/>
        </w:rPr>
        <w:t>General Fund Proposed Budgets, 2021/22 to 2023/24</w:t>
      </w:r>
    </w:p>
    <w:p w:rsidR="00557AA6" w:rsidRPr="00557AA6" w:rsidRDefault="00557AA6" w:rsidP="00557A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3800"/>
        <w:gridCol w:w="1244"/>
        <w:gridCol w:w="1300"/>
        <w:gridCol w:w="1300"/>
        <w:gridCol w:w="1300"/>
      </w:tblGrid>
      <w:tr w:rsidR="00557AA6" w:rsidRPr="00557AA6" w:rsidTr="000818AE">
        <w:trPr>
          <w:trHeight w:val="28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2020/21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2021/22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2022/23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2023/24</w:t>
            </w:r>
          </w:p>
        </w:tc>
      </w:tr>
      <w:tr w:rsidR="00557AA6" w:rsidRPr="00557AA6" w:rsidTr="000818AE">
        <w:trPr>
          <w:trHeight w:val="9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Latest Approved Budget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Year Budget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Year Budget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A6" w:rsidRPr="00557AA6" w:rsidRDefault="00557AA6" w:rsidP="00557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 Year Budget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Head of Service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of People &amp;Transformation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2,928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3,195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3,276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3,325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of Health &amp; Communities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4,451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3,787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3,848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3,911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of Finance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(795)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429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454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480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of Housing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882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898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908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916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of Law &amp; Governance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2,748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2,737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2,797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2,843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of Neigbourhood Services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4,561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3,756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3,808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3,849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of Planning &amp; Regeneration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(847)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(804)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(804)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Corporate Transformation Savings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(1,497)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(1,922)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(1,900)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(1,897)</w:t>
            </w: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13,345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12,033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12,387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12,623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Below Net Cost of Service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Interest on Balances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3,366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3,933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4,656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4,665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Borrowing Interest Paid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(2,819)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(2,563)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(2,861)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(2,885)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Statutory Debt Repayment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464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446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428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412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Investment Property Income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(2,518)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(3,544)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(3,939)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(4,067)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 and Parish Precepts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105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Depreciation reversal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(1,376)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(1,223)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(1,214)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(1,214)</w:t>
            </w: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Net Revenue Expenditure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10,567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9,185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9,561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9,639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Transfers to / from Reserves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(314)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1,416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1,469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1,469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Funding Requirement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10,253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10,601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11,030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11,108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Funded by: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External Funding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Retained Business Rates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(3,689)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(4,073)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(4,111)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(4,111)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 Homes Bonus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(631)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(268)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Revenue Support Grant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(249)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(250)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Lower Tier Services Grant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(159)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(4,569)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(4,750)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(4,111)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(4,111)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Total Council Tax Requirement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(5,684)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(5,851)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(5,851)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(5,851)</w:t>
            </w:r>
          </w:p>
        </w:tc>
      </w:tr>
      <w:tr w:rsidR="00557AA6" w:rsidRPr="00557AA6" w:rsidTr="000818AE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57AA6" w:rsidRPr="00557AA6" w:rsidTr="000818AE">
        <w:trPr>
          <w:trHeight w:val="28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Deficit/(Surplus)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1,068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A6" w:rsidRPr="00557AA6" w:rsidRDefault="00557AA6" w:rsidP="00557A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57AA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1,146 </w:t>
            </w:r>
          </w:p>
        </w:tc>
      </w:tr>
    </w:tbl>
    <w:p w:rsidR="00557AA6" w:rsidRPr="00557AA6" w:rsidRDefault="00557AA6" w:rsidP="00557A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557AA6" w:rsidRPr="00557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67"/>
    <w:rsid w:val="00557AA6"/>
    <w:rsid w:val="006C5BB8"/>
    <w:rsid w:val="00A92039"/>
    <w:rsid w:val="00B57C67"/>
    <w:rsid w:val="00CE7626"/>
    <w:rsid w:val="00DB25D4"/>
    <w:rsid w:val="00EE26AE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4F951-E002-4402-BEFA-FBAC1C78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Cable</dc:creator>
  <cp:keywords/>
  <dc:description/>
  <cp:lastModifiedBy>Mark Pemberton</cp:lastModifiedBy>
  <cp:revision>2</cp:revision>
  <dcterms:created xsi:type="dcterms:W3CDTF">2021-01-19T17:16:00Z</dcterms:created>
  <dcterms:modified xsi:type="dcterms:W3CDTF">2021-01-19T17:16:00Z</dcterms:modified>
</cp:coreProperties>
</file>